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6A505" w14:textId="77777777" w:rsidR="00182E20" w:rsidRDefault="002A27C6" w:rsidP="002A27C6">
      <w:r>
        <w:t>Haanja puhke- ja spordikeskuse väljaarendamine aastaringseks spordi-, turismi- ja puhkekeskuseks“ (projekti nr 2014-2020.5.04.18-0280,</w:t>
      </w:r>
      <w:r w:rsidR="00E93BED">
        <w:t xml:space="preserve">  kogu maht 1 524 166,44 eurot.</w:t>
      </w:r>
    </w:p>
    <w:p w14:paraId="56D5735A" w14:textId="77777777" w:rsidR="002A27C6" w:rsidRPr="00537008" w:rsidRDefault="00E93BED" w:rsidP="002A27C6">
      <w:pPr>
        <w:rPr>
          <w:b/>
          <w:bCs/>
          <w:color w:val="FF0000"/>
        </w:rPr>
      </w:pPr>
      <w:r>
        <w:rPr>
          <w:b/>
          <w:bCs/>
          <w:color w:val="FF0000"/>
        </w:rPr>
        <w:t>M</w:t>
      </w:r>
      <w:r w:rsidR="002A27C6" w:rsidRPr="00537008">
        <w:rPr>
          <w:b/>
          <w:bCs/>
          <w:color w:val="FF0000"/>
        </w:rPr>
        <w:t xml:space="preserve">itteabikõlblikuks </w:t>
      </w:r>
      <w:r>
        <w:rPr>
          <w:b/>
          <w:bCs/>
          <w:color w:val="FF0000"/>
        </w:rPr>
        <w:t xml:space="preserve">tunnistati </w:t>
      </w:r>
      <w:r w:rsidR="002A27C6" w:rsidRPr="00537008">
        <w:rPr>
          <w:b/>
          <w:bCs/>
          <w:color w:val="FF0000"/>
        </w:rPr>
        <w:t xml:space="preserve">381 041,61 eurot (1 524 166,44 *25%=381 041,61 ), millest Euroopa Regionaalarengu Fondi toetus kokku moodustab 323 885,37 eurot ja </w:t>
      </w:r>
      <w:r w:rsidR="00537008">
        <w:rPr>
          <w:b/>
          <w:bCs/>
          <w:color w:val="FF0000"/>
        </w:rPr>
        <w:t xml:space="preserve">valla </w:t>
      </w:r>
      <w:r w:rsidR="002A27C6" w:rsidRPr="00537008">
        <w:rPr>
          <w:b/>
          <w:bCs/>
          <w:color w:val="FF0000"/>
        </w:rPr>
        <w:t>omafinantseering 57 156,24 eurot.</w:t>
      </w:r>
    </w:p>
    <w:p w14:paraId="55B728EC" w14:textId="77777777" w:rsidR="002A27C6" w:rsidRDefault="002A27C6" w:rsidP="002A27C6"/>
    <w:p w14:paraId="6EA9CEC8" w14:textId="77777777" w:rsidR="00537008" w:rsidRDefault="002A27C6" w:rsidP="002A27C6">
      <w:proofErr w:type="spellStart"/>
      <w:r>
        <w:t>KD-des</w:t>
      </w:r>
      <w:proofErr w:type="spellEnd"/>
      <w:r>
        <w:t xml:space="preserve"> 1-5 on hankega nr 216880 seotud kulusid toetuse saajale </w:t>
      </w:r>
      <w:r w:rsidRPr="00182E20">
        <w:rPr>
          <w:b/>
          <w:bCs/>
          <w:color w:val="FF0000"/>
        </w:rPr>
        <w:t>abikõlblikuna arvestatud</w:t>
      </w:r>
      <w:r w:rsidRPr="00182E20">
        <w:rPr>
          <w:color w:val="FF0000"/>
        </w:rPr>
        <w:t xml:space="preserve"> </w:t>
      </w:r>
      <w:r w:rsidRPr="00182E20">
        <w:rPr>
          <w:b/>
          <w:bCs/>
          <w:color w:val="FF0000"/>
        </w:rPr>
        <w:t>1 144</w:t>
      </w:r>
      <w:r w:rsidRPr="00182E20">
        <w:rPr>
          <w:color w:val="FF0000"/>
        </w:rPr>
        <w:t xml:space="preserve"> </w:t>
      </w:r>
      <w:r w:rsidRPr="00182E20">
        <w:rPr>
          <w:b/>
          <w:bCs/>
          <w:color w:val="FF0000"/>
        </w:rPr>
        <w:t>168,72</w:t>
      </w:r>
      <w:r w:rsidRPr="00182E20">
        <w:rPr>
          <w:color w:val="FF0000"/>
        </w:rPr>
        <w:t xml:space="preserve"> </w:t>
      </w:r>
      <w:r w:rsidR="00182E20">
        <w:rPr>
          <w:color w:val="FF0000"/>
        </w:rPr>
        <w:t xml:space="preserve"> (  1 524 166,44 * 75% )  </w:t>
      </w:r>
      <w:r>
        <w:t xml:space="preserve">eurot ja </w:t>
      </w:r>
      <w:r w:rsidRPr="00E93BED">
        <w:rPr>
          <w:b/>
          <w:bCs/>
        </w:rPr>
        <w:t>välja makstud toetus summas 972 543,71 eurot</w:t>
      </w:r>
      <w:r>
        <w:t>.</w:t>
      </w:r>
    </w:p>
    <w:p w14:paraId="036EC1D3" w14:textId="77777777" w:rsidR="002A27C6" w:rsidRDefault="002A27C6" w:rsidP="002A27C6">
      <w:r>
        <w:t xml:space="preserve"> Abikõlblikuks loetud summast moodustab rikkumise summa 25 % ehk 286 042,18</w:t>
      </w:r>
      <w:r w:rsidR="00182E20">
        <w:t xml:space="preserve">  (1 144 168,72 *25%)</w:t>
      </w:r>
      <w:r>
        <w:t xml:space="preserve"> eurot, s.h toetus summas </w:t>
      </w:r>
      <w:r w:rsidRPr="00E93BED">
        <w:rPr>
          <w:b/>
          <w:bCs/>
        </w:rPr>
        <w:t>243 135,85</w:t>
      </w:r>
      <w:r w:rsidR="00E93BED" w:rsidRPr="00E93BED">
        <w:rPr>
          <w:b/>
          <w:bCs/>
        </w:rPr>
        <w:t xml:space="preserve">  ( 972 543,71 * 25%)</w:t>
      </w:r>
      <w:r w:rsidR="00E93BED">
        <w:t xml:space="preserve"> </w:t>
      </w:r>
      <w:r>
        <w:t xml:space="preserve"> eurot, mis kuulub tagasimaksmisele.</w:t>
      </w:r>
    </w:p>
    <w:p w14:paraId="740B9FDA" w14:textId="77777777" w:rsidR="00A53F77" w:rsidRPr="005E4B50" w:rsidRDefault="00A53F77" w:rsidP="00A53F77">
      <w:pPr>
        <w:pStyle w:val="Default"/>
        <w:numPr>
          <w:ilvl w:val="0"/>
          <w:numId w:val="1"/>
        </w:numPr>
        <w:spacing w:before="120" w:after="120"/>
        <w:jc w:val="both"/>
      </w:pPr>
      <w:r w:rsidRPr="005E4B50">
        <w:t xml:space="preserve">Riigi Tugiteenuste Keskus (RTK), kes täidab alates 01.09.2018 </w:t>
      </w:r>
      <w:proofErr w:type="spellStart"/>
      <w:r w:rsidRPr="005E4B50">
        <w:t>EAS-i</w:t>
      </w:r>
      <w:proofErr w:type="spellEnd"/>
      <w:r w:rsidRPr="005E4B50">
        <w:t xml:space="preserve"> asemel rakendusüksuse ülesandeid, tegi 17.01.2022 otsuse nr 11.2-14/0052 finantskorrektsiooni tegemise ja toetuse rahuldamise otsuse muutmise kohta, milles heitis ette, et toetuse saaja ei ole projekti raames riigihanke  läbiviimisel järginud riigihangete seaduses sätestatud nõudeid. Otsuses luges RTK mitteabikõlblikuks kuluks 381 041,61 eurot, vähendas riigihankega seotud abikõlblikke kulusid projektis 25% võrra ning nõudis toetuse saajalt tagasi projekti raames välja makstud toetuse summas 243 135,85 eurot, tasaarveldades selle rakendusüksuses menetluses olevate kuludokumentide alusel väljamakstava toetusega. </w:t>
      </w:r>
    </w:p>
    <w:p w14:paraId="4B0E762C" w14:textId="77777777" w:rsidR="002A27C6" w:rsidRDefault="002A27C6" w:rsidP="002A27C6"/>
    <w:p w14:paraId="04D84A82" w14:textId="77777777" w:rsidR="002A27C6" w:rsidRDefault="002A27C6" w:rsidP="002A27C6"/>
    <w:p w14:paraId="78AF0C81" w14:textId="77777777" w:rsidR="002A27C6" w:rsidRDefault="002A27C6" w:rsidP="002A27C6"/>
    <w:p w14:paraId="6E7FA24D" w14:textId="77777777" w:rsidR="002A27C6" w:rsidRDefault="002A27C6" w:rsidP="002A27C6"/>
    <w:sectPr w:rsidR="002A2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505A6"/>
    <w:multiLevelType w:val="multilevel"/>
    <w:tmpl w:val="FDFEA26A"/>
    <w:lvl w:ilvl="0">
      <w:start w:val="1"/>
      <w:numFmt w:val="decimal"/>
      <w:suff w:val="space"/>
      <w:lvlText w:val="%1."/>
      <w:lvlJc w:val="left"/>
      <w:pPr>
        <w:ind w:left="0" w:firstLine="0"/>
      </w:pPr>
      <w:rPr>
        <w:rFonts w:hint="default"/>
        <w:b/>
        <w:color w:val="auto"/>
        <w:sz w:val="24"/>
        <w:szCs w:val="24"/>
      </w:rPr>
    </w:lvl>
    <w:lvl w:ilvl="1">
      <w:start w:val="1"/>
      <w:numFmt w:val="decimal"/>
      <w:isLgl/>
      <w:suff w:val="space"/>
      <w:lvlText w:val="%1.%2."/>
      <w:lvlJc w:val="left"/>
      <w:pPr>
        <w:ind w:left="0" w:firstLine="0"/>
      </w:pPr>
      <w:rPr>
        <w:rFonts w:hint="default"/>
        <w:b/>
        <w:i w:val="0"/>
        <w:sz w:val="24"/>
        <w:szCs w:val="24"/>
      </w:rPr>
    </w:lvl>
    <w:lvl w:ilvl="2">
      <w:start w:val="1"/>
      <w:numFmt w:val="decimal"/>
      <w:isLgl/>
      <w:suff w:val="space"/>
      <w:lvlText w:val="%1.%2.%3."/>
      <w:lvlJc w:val="left"/>
      <w:pPr>
        <w:ind w:left="0" w:firstLine="0"/>
      </w:pPr>
      <w:rPr>
        <w:rFonts w:hint="default"/>
        <w:b/>
        <w:sz w:val="24"/>
        <w:szCs w:val="24"/>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num w:numId="1" w16cid:durableId="209709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C6"/>
    <w:rsid w:val="00182E20"/>
    <w:rsid w:val="002A27C6"/>
    <w:rsid w:val="00503DFA"/>
    <w:rsid w:val="00537008"/>
    <w:rsid w:val="00A53F77"/>
    <w:rsid w:val="00A57E4F"/>
    <w:rsid w:val="00E10B69"/>
    <w:rsid w:val="00E357E0"/>
    <w:rsid w:val="00E93B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6393"/>
  <w15:chartTrackingRefBased/>
  <w15:docId w15:val="{E47AE10D-0ACC-4C92-BB3C-61A55E5A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A53F77"/>
    <w:pPr>
      <w:suppressAutoHyphens/>
      <w:spacing w:after="0" w:line="240" w:lineRule="auto"/>
    </w:pPr>
    <w:rPr>
      <w:rFonts w:ascii="Times New Roman" w:eastAsia="Times New Roman" w:hAnsi="Times New Roman" w:cs="Times New Roman"/>
      <w:color w:val="000000"/>
      <w:kern w:val="1"/>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1223</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Juhanson</dc:creator>
  <cp:keywords/>
  <dc:description/>
  <cp:lastModifiedBy>Jana Skippar</cp:lastModifiedBy>
  <cp:revision>2</cp:revision>
  <dcterms:created xsi:type="dcterms:W3CDTF">2024-10-22T13:23:00Z</dcterms:created>
  <dcterms:modified xsi:type="dcterms:W3CDTF">2024-10-22T13:23:00Z</dcterms:modified>
</cp:coreProperties>
</file>